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2" w:lineRule="auto"/>
        <w:rPr>
          <w:rFonts w:ascii="宋体" w:hAnsi="宋体" w:eastAsia="宋体"/>
          <w:color w:val="auto"/>
          <w:lang w:eastAsia="zh-CN"/>
        </w:rPr>
      </w:pPr>
    </w:p>
    <w:p>
      <w:pPr>
        <w:pStyle w:val="4"/>
        <w:spacing w:line="242" w:lineRule="auto"/>
        <w:rPr>
          <w:rFonts w:ascii="宋体" w:hAnsi="宋体" w:eastAsia="宋体"/>
          <w:color w:val="auto"/>
        </w:rPr>
      </w:pPr>
    </w:p>
    <w:p>
      <w:pPr>
        <w:pStyle w:val="4"/>
        <w:spacing w:line="242" w:lineRule="auto"/>
        <w:rPr>
          <w:rFonts w:ascii="宋体" w:hAnsi="宋体" w:eastAsia="宋体"/>
          <w:color w:val="auto"/>
        </w:rPr>
      </w:pPr>
    </w:p>
    <w:p>
      <w:pPr>
        <w:pStyle w:val="4"/>
        <w:spacing w:line="243" w:lineRule="auto"/>
        <w:rPr>
          <w:rFonts w:ascii="宋体" w:hAnsi="宋体" w:eastAsia="宋体"/>
          <w:color w:val="auto"/>
          <w:lang w:eastAsia="zh-CN"/>
        </w:rPr>
      </w:pPr>
    </w:p>
    <w:p>
      <w:pPr>
        <w:pStyle w:val="4"/>
        <w:spacing w:line="243" w:lineRule="auto"/>
        <w:rPr>
          <w:rFonts w:ascii="宋体" w:hAnsi="宋体" w:eastAsia="宋体"/>
          <w:color w:val="auto"/>
        </w:rPr>
      </w:pPr>
    </w:p>
    <w:p>
      <w:pPr>
        <w:pStyle w:val="4"/>
        <w:spacing w:line="243" w:lineRule="auto"/>
        <w:rPr>
          <w:rFonts w:ascii="宋体" w:hAnsi="宋体" w:eastAsia="宋体"/>
          <w:color w:val="auto"/>
        </w:rPr>
      </w:pPr>
    </w:p>
    <w:p>
      <w:pPr>
        <w:spacing w:line="360" w:lineRule="auto"/>
        <w:jc w:val="center"/>
        <w:rPr>
          <w:rFonts w:ascii="Times New Roman" w:hAnsi="Times New Roman" w:eastAsia="宋体"/>
          <w:b/>
          <w:color w:val="auto"/>
          <w:sz w:val="44"/>
          <w:szCs w:val="44"/>
          <w:lang w:eastAsia="zh-CN"/>
        </w:rPr>
      </w:pPr>
      <w:r>
        <w:rPr>
          <w:rFonts w:hint="eastAsia" w:ascii="Times New Roman" w:hAnsi="Times New Roman" w:eastAsia="宋体"/>
          <w:b/>
          <w:color w:val="auto"/>
          <w:sz w:val="44"/>
          <w:szCs w:val="44"/>
          <w:lang w:eastAsia="zh-CN"/>
        </w:rPr>
        <w:t>桂林市国土空间总体规划</w:t>
      </w:r>
    </w:p>
    <w:p>
      <w:pPr>
        <w:spacing w:line="360" w:lineRule="auto"/>
        <w:jc w:val="center"/>
        <w:rPr>
          <w:rFonts w:ascii="Times New Roman" w:hAnsi="Times New Roman" w:eastAsia="宋体"/>
          <w:b/>
          <w:color w:val="auto"/>
          <w:sz w:val="44"/>
          <w:szCs w:val="44"/>
          <w:lang w:eastAsia="zh-CN"/>
        </w:rPr>
      </w:pPr>
      <w:r>
        <w:rPr>
          <w:rFonts w:hint="eastAsia" w:ascii="Times New Roman" w:hAnsi="Times New Roman" w:eastAsia="宋体"/>
          <w:b/>
          <w:color w:val="auto"/>
          <w:sz w:val="44"/>
          <w:szCs w:val="44"/>
          <w:lang w:eastAsia="zh-CN"/>
        </w:rPr>
        <w:t>（</w:t>
      </w:r>
      <w:r>
        <w:rPr>
          <w:rFonts w:ascii="Times New Roman" w:hAnsi="Times New Roman" w:eastAsia="宋体"/>
          <w:b/>
          <w:color w:val="auto"/>
          <w:sz w:val="44"/>
          <w:szCs w:val="44"/>
          <w:lang w:eastAsia="zh-CN"/>
        </w:rPr>
        <w:t>2021</w:t>
      </w:r>
      <w:r>
        <w:rPr>
          <w:rFonts w:hint="eastAsia" w:ascii="Times New Roman" w:hAnsi="Times New Roman" w:eastAsia="宋体"/>
          <w:b/>
          <w:color w:val="auto"/>
          <w:sz w:val="44"/>
          <w:szCs w:val="44"/>
          <w:lang w:eastAsia="zh-CN"/>
        </w:rPr>
        <w:t>—</w:t>
      </w:r>
      <w:r>
        <w:rPr>
          <w:rFonts w:ascii="Times New Roman" w:hAnsi="Times New Roman" w:eastAsia="宋体"/>
          <w:b/>
          <w:color w:val="auto"/>
          <w:sz w:val="44"/>
          <w:szCs w:val="44"/>
          <w:lang w:eastAsia="zh-CN"/>
        </w:rPr>
        <w:t>2035</w:t>
      </w:r>
      <w:r>
        <w:rPr>
          <w:rFonts w:hint="eastAsia" w:ascii="Times New Roman" w:hAnsi="Times New Roman" w:eastAsia="宋体"/>
          <w:b/>
          <w:color w:val="auto"/>
          <w:sz w:val="44"/>
          <w:szCs w:val="44"/>
          <w:lang w:eastAsia="zh-CN"/>
        </w:rPr>
        <w:t>年）</w:t>
      </w:r>
    </w:p>
    <w:p>
      <w:pPr>
        <w:spacing w:line="360" w:lineRule="auto"/>
        <w:jc w:val="center"/>
        <w:rPr>
          <w:rFonts w:ascii="Times New Roman" w:hAnsi="Times New Roman" w:eastAsia="宋体"/>
          <w:b/>
          <w:color w:val="auto"/>
          <w:sz w:val="44"/>
          <w:szCs w:val="44"/>
          <w:lang w:eastAsia="zh-CN"/>
        </w:rPr>
      </w:pPr>
      <w:r>
        <w:rPr>
          <w:rFonts w:ascii="Times New Roman" w:hAnsi="Times New Roman" w:eastAsia="宋体"/>
          <w:b/>
          <w:color w:val="auto"/>
          <w:sz w:val="44"/>
          <w:szCs w:val="44"/>
          <w:lang w:eastAsia="zh-CN"/>
        </w:rPr>
        <w:t>2026</w:t>
      </w:r>
      <w:r>
        <w:rPr>
          <w:rFonts w:hint="eastAsia" w:ascii="Times New Roman" w:hAnsi="Times New Roman" w:eastAsia="宋体"/>
          <w:b/>
          <w:color w:val="auto"/>
          <w:sz w:val="44"/>
          <w:szCs w:val="44"/>
          <w:lang w:eastAsia="zh-CN"/>
        </w:rPr>
        <w:t>年度动态维护方案</w:t>
      </w:r>
    </w:p>
    <w:p>
      <w:pPr>
        <w:spacing w:line="360" w:lineRule="auto"/>
        <w:jc w:val="center"/>
        <w:rPr>
          <w:rFonts w:ascii="Times New Roman" w:hAnsi="Times New Roman" w:eastAsia="宋体"/>
          <w:color w:val="auto"/>
          <w:sz w:val="44"/>
          <w:szCs w:val="44"/>
          <w:lang w:eastAsia="zh-CN"/>
        </w:rPr>
      </w:pPr>
      <w:r>
        <w:rPr>
          <w:rFonts w:hint="eastAsia" w:ascii="Times New Roman" w:hAnsi="Times New Roman" w:eastAsia="宋体"/>
          <w:color w:val="auto"/>
          <w:sz w:val="44"/>
          <w:szCs w:val="44"/>
          <w:lang w:eastAsia="zh-CN"/>
        </w:rPr>
        <w:t>（公示稿）</w:t>
      </w: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pStyle w:val="4"/>
        <w:spacing w:line="247" w:lineRule="auto"/>
        <w:rPr>
          <w:rFonts w:ascii="宋体" w:hAnsi="宋体" w:eastAsia="宋体"/>
          <w:color w:val="auto"/>
          <w:sz w:val="44"/>
          <w:szCs w:val="44"/>
          <w:lang w:eastAsia="zh-CN"/>
        </w:rPr>
      </w:pPr>
    </w:p>
    <w:p>
      <w:pPr>
        <w:widowControl w:val="0"/>
        <w:kinsoku/>
        <w:autoSpaceDE/>
        <w:adjustRightInd/>
        <w:snapToGrid/>
        <w:spacing w:before="120" w:beforeLines="50" w:line="300" w:lineRule="auto"/>
        <w:jc w:val="center"/>
        <w:rPr>
          <w:rFonts w:ascii="宋体" w:hAnsi="宋体" w:eastAsia="宋体" w:cs="Times New Roman"/>
          <w:b/>
          <w:color w:val="auto"/>
          <w:kern w:val="2"/>
          <w:sz w:val="44"/>
          <w:szCs w:val="44"/>
          <w:lang w:eastAsia="zh-CN"/>
        </w:rPr>
      </w:pPr>
      <w:r>
        <w:rPr>
          <w:rFonts w:hint="eastAsia" w:ascii="宋体" w:hAnsi="宋体" w:eastAsia="宋体" w:cs="Times New Roman"/>
          <w:b/>
          <w:color w:val="auto"/>
          <w:kern w:val="2"/>
          <w:sz w:val="44"/>
          <w:szCs w:val="44"/>
          <w:lang w:eastAsia="zh-CN"/>
        </w:rPr>
        <w:t>桂林市自然资源局</w:t>
      </w:r>
    </w:p>
    <w:p>
      <w:pPr>
        <w:pStyle w:val="4"/>
        <w:spacing w:line="247" w:lineRule="auto"/>
        <w:jc w:val="center"/>
        <w:rPr>
          <w:rFonts w:ascii="宋体" w:hAnsi="宋体" w:eastAsia="宋体"/>
          <w:color w:val="auto"/>
          <w:sz w:val="44"/>
          <w:szCs w:val="44"/>
          <w:lang w:eastAsia="zh-CN"/>
        </w:rPr>
      </w:pPr>
      <w:r>
        <w:rPr>
          <w:rFonts w:ascii="宋体" w:hAnsi="宋体" w:eastAsia="宋体" w:cs="Times New Roman"/>
          <w:b/>
          <w:color w:val="auto"/>
          <w:kern w:val="2"/>
          <w:sz w:val="44"/>
          <w:szCs w:val="44"/>
          <w:lang w:eastAsia="zh-CN"/>
        </w:rPr>
        <w:t>2026</w:t>
      </w:r>
      <w:r>
        <w:rPr>
          <w:rFonts w:hint="eastAsia" w:ascii="宋体" w:hAnsi="宋体" w:eastAsia="宋体" w:cs="微软雅黑"/>
          <w:b/>
          <w:color w:val="auto"/>
          <w:kern w:val="2"/>
          <w:sz w:val="44"/>
          <w:szCs w:val="44"/>
          <w:lang w:eastAsia="zh-CN"/>
        </w:rPr>
        <w:t>年</w:t>
      </w:r>
      <w:r>
        <w:rPr>
          <w:rFonts w:ascii="宋体" w:hAnsi="宋体" w:eastAsia="宋体" w:cs="Times New Roman"/>
          <w:b/>
          <w:color w:val="auto"/>
          <w:kern w:val="2"/>
          <w:sz w:val="44"/>
          <w:szCs w:val="44"/>
          <w:lang w:eastAsia="zh-CN"/>
        </w:rPr>
        <w:t>4</w:t>
      </w:r>
      <w:r>
        <w:rPr>
          <w:rFonts w:hint="eastAsia" w:ascii="宋体" w:hAnsi="宋体" w:eastAsia="宋体" w:cs="微软雅黑"/>
          <w:b/>
          <w:color w:val="auto"/>
          <w:kern w:val="2"/>
          <w:sz w:val="44"/>
          <w:szCs w:val="44"/>
          <w:lang w:eastAsia="zh-CN"/>
        </w:rPr>
        <w:t>月</w:t>
      </w:r>
    </w:p>
    <w:p>
      <w:pPr>
        <w:pStyle w:val="4"/>
        <w:spacing w:line="247" w:lineRule="auto"/>
        <w:rPr>
          <w:rFonts w:ascii="宋体" w:hAnsi="宋体" w:eastAsia="宋体"/>
          <w:color w:val="auto"/>
          <w:lang w:eastAsia="zh-CN"/>
        </w:rPr>
      </w:pPr>
    </w:p>
    <w:p>
      <w:pPr>
        <w:pStyle w:val="4"/>
        <w:spacing w:line="247" w:lineRule="auto"/>
        <w:rPr>
          <w:rFonts w:ascii="宋体" w:hAnsi="宋体" w:eastAsia="宋体"/>
          <w:color w:val="auto"/>
          <w:lang w:eastAsia="zh-CN"/>
        </w:rPr>
      </w:pPr>
    </w:p>
    <w:p>
      <w:pPr>
        <w:pStyle w:val="4"/>
        <w:spacing w:line="247" w:lineRule="auto"/>
        <w:rPr>
          <w:rFonts w:ascii="宋体" w:hAnsi="宋体" w:eastAsia="宋体"/>
          <w:color w:val="auto"/>
          <w:lang w:eastAsia="zh-CN"/>
        </w:rPr>
      </w:pPr>
    </w:p>
    <w:p>
      <w:pPr>
        <w:pStyle w:val="4"/>
        <w:spacing w:line="247" w:lineRule="auto"/>
        <w:rPr>
          <w:rFonts w:ascii="宋体" w:hAnsi="宋体" w:eastAsia="宋体"/>
          <w:color w:val="auto"/>
          <w:lang w:eastAsia="zh-CN"/>
        </w:rPr>
      </w:pPr>
    </w:p>
    <w:p>
      <w:pPr>
        <w:kinsoku/>
        <w:autoSpaceDE/>
        <w:autoSpaceDN/>
        <w:adjustRightInd/>
        <w:snapToGrid/>
        <w:jc w:val="center"/>
        <w:textAlignment w:val="auto"/>
        <w:rPr>
          <w:rFonts w:ascii="宋体" w:hAnsi="宋体" w:eastAsia="宋体" w:cs="楷体"/>
          <w:color w:val="auto"/>
          <w:sz w:val="31"/>
          <w:szCs w:val="31"/>
          <w:lang w:eastAsia="zh-CN"/>
        </w:rPr>
      </w:pPr>
      <w:bookmarkStart w:id="0" w:name="_GoBack"/>
      <w:bookmarkEnd w:id="0"/>
    </w:p>
    <w:p>
      <w:pPr>
        <w:spacing w:before="101" w:line="411" w:lineRule="exact"/>
        <w:ind w:left="685"/>
        <w:outlineLvl w:val="0"/>
        <w:rPr>
          <w:rFonts w:ascii="宋体" w:hAnsi="宋体" w:eastAsia="宋体" w:cstheme="majorBidi"/>
          <w:b/>
          <w:bCs/>
          <w:color w:val="auto"/>
          <w:sz w:val="32"/>
          <w:szCs w:val="32"/>
          <w:lang w:eastAsia="zh-CN"/>
        </w:rPr>
        <w:sectPr>
          <w:footerReference r:id="rId3" w:type="default"/>
          <w:footerReference r:id="rId4" w:type="even"/>
          <w:pgSz w:w="11906" w:h="16839"/>
          <w:pgMar w:top="1431" w:right="1542" w:bottom="1283" w:left="1483" w:header="0" w:footer="1112" w:gutter="0"/>
          <w:cols w:space="720" w:num="1"/>
        </w:sectPr>
      </w:pPr>
    </w:p>
    <w:p>
      <w:pPr>
        <w:keepNext w:val="0"/>
        <w:keepLines w:val="0"/>
        <w:pageBreakBefore w:val="0"/>
        <w:widowControl w:val="0"/>
        <w:wordWrap/>
        <w:overflowPunct w:val="0"/>
        <w:topLinePunct w:val="0"/>
        <w:autoSpaceDE/>
        <w:autoSpaceDN/>
        <w:bidi w:val="0"/>
        <w:spacing w:line="560" w:lineRule="exact"/>
        <w:ind w:left="0" w:leftChars="0" w:right="0" w:rightChars="0" w:firstLine="643" w:firstLineChars="200"/>
        <w:jc w:val="both"/>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一、编制背景</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为深入贯彻党的二十届四中全会精神，落实自治区级、市级“十五五”规划的战略部署，依据《中共中央国务院关于建立国土空间规划体系并监督实施的若干意见》（中发〔2019〕18 号）《自然资源部国家林业和草原局关于进一步做好自然资源要素保障的通知》（自然资发〔2026〕38号）和自然资源部相关要求，开展《桂林市国土空间总体规划（2021-2035年）》（以下简称“规划”）2026年度动态调整完善工作。在坚守国土空间开发保护底线约束的前提下，通过规划动态调整完善，主动适配城市发展变化，破解规划实施中的潜在矛盾，全面提升规划实施效能。同时进一步理顺全市国土空间开发保护关系，优化空间资源配置，充分发挥国土空间规划的基础保障作用，为“十五五”重大项目提供精准空间支撑，进而为推进我市世界级旅游城市建设提供有力的规划保障。</w:t>
      </w:r>
    </w:p>
    <w:p>
      <w:pPr>
        <w:keepNext w:val="0"/>
        <w:keepLines w:val="0"/>
        <w:pageBreakBefore w:val="0"/>
        <w:widowControl w:val="0"/>
        <w:wordWrap/>
        <w:overflowPunct w:val="0"/>
        <w:topLinePunct w:val="0"/>
        <w:autoSpaceDE/>
        <w:autoSpaceDN/>
        <w:bidi w:val="0"/>
        <w:spacing w:line="560" w:lineRule="exact"/>
        <w:ind w:left="0" w:leftChars="0" w:right="0" w:rightChars="0" w:firstLine="643" w:firstLineChars="200"/>
        <w:jc w:val="both"/>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二、编制目的</w:t>
      </w:r>
    </w:p>
    <w:p>
      <w:pPr>
        <w:keepNext w:val="0"/>
        <w:keepLines w:val="0"/>
        <w:pageBreakBefore w:val="0"/>
        <w:widowControl w:val="0"/>
        <w:wordWrap/>
        <w:overflowPunct w:val="0"/>
        <w:topLinePunct w:val="0"/>
        <w:autoSpaceDE/>
        <w:autoSpaceDN/>
        <w:bidi w:val="0"/>
        <w:spacing w:line="560" w:lineRule="exact"/>
        <w:ind w:left="0" w:leftChars="0" w:right="0" w:rightChars="0" w:firstLine="655" w:firstLineChars="200"/>
        <w:jc w:val="both"/>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3"/>
          <w:sz w:val="32"/>
          <w:szCs w:val="32"/>
          <w:lang w:eastAsia="zh-CN"/>
        </w:rPr>
        <w:t>保障规划实施的科学性与时效性。</w:t>
      </w:r>
      <w:r>
        <w:rPr>
          <w:rFonts w:hint="eastAsia" w:ascii="仿宋_GB2312" w:hAnsi="仿宋_GB2312" w:eastAsia="仿宋_GB2312" w:cs="仿宋_GB2312"/>
          <w:color w:val="auto"/>
          <w:spacing w:val="3"/>
          <w:sz w:val="32"/>
          <w:szCs w:val="32"/>
          <w:lang w:eastAsia="zh-CN"/>
        </w:rPr>
        <w:t>通过动态维护及时响应国</w:t>
      </w:r>
      <w:r>
        <w:rPr>
          <w:rFonts w:hint="eastAsia" w:ascii="仿宋_GB2312" w:hAnsi="仿宋_GB2312" w:eastAsia="仿宋_GB2312" w:cs="仿宋_GB2312"/>
          <w:color w:val="auto"/>
          <w:spacing w:val="4"/>
          <w:sz w:val="32"/>
          <w:szCs w:val="32"/>
          <w:lang w:eastAsia="zh-CN"/>
        </w:rPr>
        <w:t>家和自治区重大战略调整，确保《规划》始终与经济社会发展实</w:t>
      </w:r>
      <w:r>
        <w:rPr>
          <w:rFonts w:hint="eastAsia" w:ascii="仿宋_GB2312" w:hAnsi="仿宋_GB2312" w:eastAsia="仿宋_GB2312" w:cs="仿宋_GB2312"/>
          <w:color w:val="auto"/>
          <w:spacing w:val="9"/>
          <w:sz w:val="32"/>
          <w:szCs w:val="32"/>
          <w:lang w:eastAsia="zh-CN"/>
        </w:rPr>
        <w:t>际相契合，保持“一张蓝图干到底”的战略定力。</w:t>
      </w:r>
    </w:p>
    <w:p>
      <w:pPr>
        <w:keepNext w:val="0"/>
        <w:keepLines w:val="0"/>
        <w:pageBreakBefore w:val="0"/>
        <w:widowControl w:val="0"/>
        <w:wordWrap/>
        <w:overflowPunct w:val="0"/>
        <w:topLinePunct w:val="0"/>
        <w:autoSpaceDE/>
        <w:autoSpaceDN/>
        <w:bidi w:val="0"/>
        <w:spacing w:line="560" w:lineRule="exact"/>
        <w:ind w:left="0" w:leftChars="0" w:right="0" w:rightChars="0" w:firstLine="655" w:firstLineChars="200"/>
        <w:jc w:val="both"/>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3"/>
          <w:sz w:val="32"/>
          <w:szCs w:val="32"/>
          <w:lang w:eastAsia="zh-CN"/>
        </w:rPr>
        <w:t>强化重大项目要素保障能力。</w:t>
      </w:r>
      <w:r>
        <w:rPr>
          <w:rFonts w:hint="eastAsia" w:ascii="仿宋_GB2312" w:hAnsi="仿宋_GB2312" w:eastAsia="仿宋_GB2312" w:cs="仿宋_GB2312"/>
          <w:color w:val="auto"/>
          <w:spacing w:val="3"/>
          <w:sz w:val="32"/>
          <w:szCs w:val="32"/>
          <w:lang w:eastAsia="zh-CN"/>
        </w:rPr>
        <w:t>针对招商引资和产业升级中出</w:t>
      </w:r>
      <w:r>
        <w:rPr>
          <w:rFonts w:hint="eastAsia" w:ascii="仿宋_GB2312" w:hAnsi="仿宋_GB2312" w:eastAsia="仿宋_GB2312" w:cs="仿宋_GB2312"/>
          <w:color w:val="auto"/>
          <w:spacing w:val="4"/>
          <w:sz w:val="32"/>
          <w:szCs w:val="32"/>
          <w:lang w:eastAsia="zh-CN"/>
        </w:rPr>
        <w:t>现的急难愁盼问题，提前介入、主动服务，将符合条件的新增重大项目及时纳入规划重点项目清单，通过局部优化调整三条控制线、村庄边界以及重大项目清单等要素，强化重大项目要素保障</w:t>
      </w:r>
      <w:r>
        <w:rPr>
          <w:rFonts w:hint="eastAsia" w:ascii="仿宋_GB2312" w:hAnsi="仿宋_GB2312" w:eastAsia="仿宋_GB2312" w:cs="仿宋_GB2312"/>
          <w:color w:val="auto"/>
          <w:spacing w:val="-1"/>
          <w:sz w:val="32"/>
          <w:szCs w:val="32"/>
          <w:lang w:eastAsia="zh-CN"/>
        </w:rPr>
        <w:t>能力。</w:t>
      </w:r>
    </w:p>
    <w:p>
      <w:pPr>
        <w:keepNext w:val="0"/>
        <w:keepLines w:val="0"/>
        <w:pageBreakBefore w:val="0"/>
        <w:widowControl w:val="0"/>
        <w:wordWrap/>
        <w:overflowPunct w:val="0"/>
        <w:topLinePunct w:val="0"/>
        <w:autoSpaceDE/>
        <w:autoSpaceDN/>
        <w:bidi w:val="0"/>
        <w:spacing w:line="560" w:lineRule="exact"/>
        <w:ind w:left="0" w:leftChars="0" w:right="0" w:rightChars="0" w:firstLine="655" w:firstLineChars="200"/>
        <w:jc w:val="both"/>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3"/>
          <w:sz w:val="32"/>
          <w:szCs w:val="32"/>
          <w:lang w:eastAsia="zh-CN"/>
        </w:rPr>
        <w:t>提升城乡空间治理水平。</w:t>
      </w:r>
      <w:r>
        <w:rPr>
          <w:rFonts w:hint="eastAsia" w:ascii="仿宋_GB2312" w:hAnsi="仿宋_GB2312" w:eastAsia="仿宋_GB2312" w:cs="仿宋_GB2312"/>
          <w:color w:val="auto"/>
          <w:spacing w:val="3"/>
          <w:sz w:val="32"/>
          <w:szCs w:val="32"/>
          <w:lang w:eastAsia="zh-CN"/>
        </w:rPr>
        <w:t>结合控制性详细规划动态更新和村</w:t>
      </w:r>
      <w:r>
        <w:rPr>
          <w:rFonts w:hint="eastAsia" w:ascii="仿宋_GB2312" w:hAnsi="仿宋_GB2312" w:eastAsia="仿宋_GB2312" w:cs="仿宋_GB2312"/>
          <w:color w:val="auto"/>
          <w:spacing w:val="4"/>
          <w:sz w:val="32"/>
          <w:szCs w:val="32"/>
          <w:lang w:eastAsia="zh-CN"/>
        </w:rPr>
        <w:t>庄规划有序推进，解决规划实施过程中遇到的矛盾冲突，优化城镇低效用地盘活路径，促进土地节约集约利用，推动城市内涵式</w:t>
      </w:r>
      <w:r>
        <w:rPr>
          <w:rFonts w:hint="eastAsia" w:ascii="仿宋_GB2312" w:hAnsi="仿宋_GB2312" w:eastAsia="仿宋_GB2312" w:cs="仿宋_GB2312"/>
          <w:color w:val="auto"/>
          <w:spacing w:val="6"/>
          <w:sz w:val="32"/>
          <w:szCs w:val="32"/>
          <w:lang w:eastAsia="zh-CN"/>
        </w:rPr>
        <w:t>发展和乡村振兴战略实施。</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55" w:firstLineChars="200"/>
        <w:jc w:val="both"/>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3"/>
          <w:sz w:val="32"/>
          <w:szCs w:val="32"/>
          <w:lang w:eastAsia="zh-CN"/>
        </w:rPr>
        <w:t>筑牢国土空间安全底线。</w:t>
      </w:r>
      <w:r>
        <w:rPr>
          <w:rFonts w:hint="eastAsia" w:ascii="仿宋_GB2312" w:hAnsi="仿宋_GB2312" w:eastAsia="仿宋_GB2312" w:cs="仿宋_GB2312"/>
          <w:color w:val="auto"/>
          <w:spacing w:val="3"/>
          <w:sz w:val="32"/>
          <w:szCs w:val="32"/>
          <w:lang w:eastAsia="zh-CN"/>
        </w:rPr>
        <w:t>严格落实耕地和永久基本农田、生</w:t>
      </w:r>
      <w:r>
        <w:rPr>
          <w:rFonts w:hint="eastAsia" w:ascii="仿宋_GB2312" w:hAnsi="仿宋_GB2312" w:eastAsia="仿宋_GB2312" w:cs="仿宋_GB2312"/>
          <w:color w:val="auto"/>
          <w:spacing w:val="5"/>
          <w:sz w:val="32"/>
          <w:szCs w:val="32"/>
          <w:lang w:eastAsia="zh-CN"/>
        </w:rPr>
        <w:t>态保护红线、城镇开发边界“三区三线”刚性管控要求，统筹发展</w:t>
      </w:r>
      <w:r>
        <w:rPr>
          <w:rFonts w:hint="eastAsia" w:ascii="仿宋_GB2312" w:hAnsi="仿宋_GB2312" w:eastAsia="仿宋_GB2312" w:cs="仿宋_GB2312"/>
          <w:color w:val="auto"/>
          <w:spacing w:val="8"/>
          <w:sz w:val="32"/>
          <w:szCs w:val="32"/>
          <w:lang w:eastAsia="zh-CN"/>
        </w:rPr>
        <w:t>和安全，确保各类开发建设活动不突破底线红线。</w:t>
      </w:r>
    </w:p>
    <w:p>
      <w:pPr>
        <w:keepNext w:val="0"/>
        <w:keepLines w:val="0"/>
        <w:pageBreakBefore w:val="0"/>
        <w:widowControl w:val="0"/>
        <w:wordWrap/>
        <w:overflowPunct w:val="0"/>
        <w:topLinePunct w:val="0"/>
        <w:autoSpaceDE/>
        <w:autoSpaceDN/>
        <w:bidi w:val="0"/>
        <w:spacing w:line="560" w:lineRule="exact"/>
        <w:ind w:left="0" w:leftChars="0" w:right="0" w:rightChars="0" w:firstLine="643" w:firstLineChars="200"/>
        <w:jc w:val="both"/>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三、编制范围</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本次规划动态维护方案的编制范围覆盖桂林市市辖区（七星区、叠彩区、秀峰区、象山区、雁山区、临桂区）行政管辖范围内的全部国土空间，总面积280.50平方公里。</w:t>
      </w:r>
    </w:p>
    <w:p>
      <w:pPr>
        <w:keepNext w:val="0"/>
        <w:keepLines w:val="0"/>
        <w:pageBreakBefore w:val="0"/>
        <w:widowControl w:val="0"/>
        <w:wordWrap/>
        <w:overflowPunct w:val="0"/>
        <w:topLinePunct w:val="0"/>
        <w:autoSpaceDE/>
        <w:autoSpaceDN/>
        <w:bidi w:val="0"/>
        <w:spacing w:line="560" w:lineRule="exact"/>
        <w:ind w:left="0" w:leftChars="0" w:right="0" w:rightChars="0" w:firstLine="643" w:firstLineChars="200"/>
        <w:jc w:val="both"/>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四、编制依据</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1.《中华人民共和国土地管理法》（2019 年修正）；</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2.《中华人民共和国城乡规划法》（2019 年修正）；</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3.《中华人民共和国土地管理法实施条例》（2021 年修订）；</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4.《中华人民共和国环境保护法》（2014 年修订）；</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5.《中华人民共和国森林法》（2019 年修订）；</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6.《中华人民共和国湿地保护法》（2021 年）；</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7.《基本农田保护条例》（2011 年修订）；</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8.《永久基本农田保护红线管理办法》（2025 年）；</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9.《中共中央国务院关于建立国土空间规划体系并监督实施的若干意见》（中发〔2019〕18 号）；</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10.《中共中央办公厅国务院办公厅关于加强耕地保护提升耕地质量完善占补平衡的意见》（2024 年）；</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11.《关于划定并严守生态保护红线的若干意见》（2017年）；</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12.《关于在国土空间规划中统筹划定落实三条控制线的指导意见》（中办发〔2019〕32 号）；</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13.《自然资源部关于印发〈城镇开发边界管理办法（试行）〉的通知》（ 自然资规〔2026〕1 号）；</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14.《自然资源部农业农村部关于加强和改进永久基本农田保护工作的通知》（ 自然资规〔2019〕1 号）；</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w:t>
      </w:r>
      <w:r>
        <w:rPr>
          <w:rFonts w:hint="eastAsia" w:ascii="仿宋_GB2312" w:hAnsi="仿宋_GB2312" w:eastAsia="仿宋_GB2312" w:cs="仿宋_GB2312"/>
          <w:color w:val="auto"/>
          <w:spacing w:val="3"/>
          <w:sz w:val="32"/>
          <w:szCs w:val="32"/>
          <w:lang w:val="en-US" w:eastAsia="zh-CN"/>
        </w:rPr>
        <w:t>5</w:t>
      </w:r>
      <w:r>
        <w:rPr>
          <w:rFonts w:hint="eastAsia" w:ascii="仿宋_GB2312" w:hAnsi="仿宋_GB2312" w:eastAsia="仿宋_GB2312" w:cs="仿宋_GB2312"/>
          <w:color w:val="auto"/>
          <w:spacing w:val="3"/>
          <w:sz w:val="32"/>
          <w:szCs w:val="32"/>
          <w:lang w:eastAsia="zh-CN"/>
        </w:rPr>
        <w:t>.《自然资源部关于印发〈城镇开发边界管理办法（试行）〉的通知》（ 自然资规〔2026〕1 号）；</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w:t>
      </w:r>
      <w:r>
        <w:rPr>
          <w:rFonts w:hint="eastAsia" w:ascii="仿宋_GB2312" w:hAnsi="仿宋_GB2312" w:eastAsia="仿宋_GB2312" w:cs="仿宋_GB2312"/>
          <w:color w:val="auto"/>
          <w:spacing w:val="3"/>
          <w:sz w:val="32"/>
          <w:szCs w:val="32"/>
          <w:lang w:val="en-US" w:eastAsia="zh-CN"/>
        </w:rPr>
        <w:t>6</w:t>
      </w:r>
      <w:r>
        <w:rPr>
          <w:rFonts w:hint="eastAsia" w:ascii="仿宋_GB2312" w:hAnsi="仿宋_GB2312" w:eastAsia="仿宋_GB2312" w:cs="仿宋_GB2312"/>
          <w:color w:val="auto"/>
          <w:spacing w:val="3"/>
          <w:sz w:val="32"/>
          <w:szCs w:val="32"/>
          <w:lang w:eastAsia="zh-CN"/>
        </w:rPr>
        <w:t>.《自然资源部国家林业和草原局关于进一步做好自然资源要素保障的通知》（ 自然资发〔2026〕38 号）；</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w:t>
      </w:r>
      <w:r>
        <w:rPr>
          <w:rFonts w:hint="eastAsia" w:ascii="仿宋_GB2312" w:hAnsi="仿宋_GB2312" w:eastAsia="仿宋_GB2312" w:cs="仿宋_GB2312"/>
          <w:color w:val="auto"/>
          <w:spacing w:val="3"/>
          <w:sz w:val="32"/>
          <w:szCs w:val="32"/>
          <w:lang w:val="en-US" w:eastAsia="zh-CN"/>
        </w:rPr>
        <w:t>7</w:t>
      </w:r>
      <w:r>
        <w:rPr>
          <w:rFonts w:hint="eastAsia" w:ascii="仿宋_GB2312" w:hAnsi="仿宋_GB2312" w:eastAsia="仿宋_GB2312" w:cs="仿宋_GB2312"/>
          <w:color w:val="auto"/>
          <w:spacing w:val="3"/>
          <w:sz w:val="32"/>
          <w:szCs w:val="32"/>
          <w:lang w:eastAsia="zh-CN"/>
        </w:rPr>
        <w:t>.《广西壮族自治区自然资源厅办公室关于印发〈市县国土空间总体规划动态维护方案编制参考大纲及动态维护正向优化指标表〉的通知》（桂自然资办〔2026〕26 号）；</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1</w:t>
      </w:r>
      <w:r>
        <w:rPr>
          <w:rFonts w:hint="eastAsia" w:ascii="仿宋_GB2312" w:hAnsi="仿宋_GB2312" w:eastAsia="仿宋_GB2312" w:cs="仿宋_GB2312"/>
          <w:color w:val="auto"/>
          <w:spacing w:val="3"/>
          <w:sz w:val="32"/>
          <w:szCs w:val="32"/>
          <w:lang w:val="en-US" w:eastAsia="zh-CN"/>
        </w:rPr>
        <w:t>8</w:t>
      </w:r>
      <w:r>
        <w:rPr>
          <w:rFonts w:hint="eastAsia" w:ascii="仿宋_GB2312" w:hAnsi="仿宋_GB2312" w:eastAsia="仿宋_GB2312" w:cs="仿宋_GB2312"/>
          <w:color w:val="auto"/>
          <w:spacing w:val="3"/>
          <w:sz w:val="32"/>
          <w:szCs w:val="32"/>
          <w:lang w:eastAsia="zh-CN"/>
        </w:rPr>
        <w:t>.《广西壮族自治区自然资源厅办公室关于开展国土空间总体规划动态调整完善工作的通知》（桂自然资办〔2026〕15号）；</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val="en-US" w:eastAsia="zh-CN"/>
        </w:rPr>
        <w:t>19</w:t>
      </w:r>
      <w:r>
        <w:rPr>
          <w:rFonts w:hint="eastAsia" w:ascii="仿宋_GB2312" w:hAnsi="仿宋_GB2312" w:eastAsia="仿宋_GB2312" w:cs="仿宋_GB2312"/>
          <w:color w:val="auto"/>
          <w:spacing w:val="3"/>
          <w:sz w:val="32"/>
          <w:szCs w:val="32"/>
          <w:lang w:eastAsia="zh-CN"/>
        </w:rPr>
        <w:t>.《广西壮族自治区自然资源厅关于印发＜广西城镇开发边界管理实施细则（试行）＞的通知》（桂自然资发〔2024〕26号）；</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2</w:t>
      </w:r>
      <w:r>
        <w:rPr>
          <w:rFonts w:hint="eastAsia" w:ascii="仿宋_GB2312" w:hAnsi="仿宋_GB2312" w:eastAsia="仿宋_GB2312" w:cs="仿宋_GB2312"/>
          <w:color w:val="auto"/>
          <w:spacing w:val="3"/>
          <w:sz w:val="32"/>
          <w:szCs w:val="32"/>
          <w:lang w:val="en-US" w:eastAsia="zh-CN"/>
        </w:rPr>
        <w:t>0</w:t>
      </w:r>
      <w:r>
        <w:rPr>
          <w:rFonts w:hint="eastAsia" w:ascii="仿宋_GB2312" w:hAnsi="仿宋_GB2312" w:eastAsia="仿宋_GB2312" w:cs="仿宋_GB2312"/>
          <w:color w:val="auto"/>
          <w:spacing w:val="3"/>
          <w:sz w:val="32"/>
          <w:szCs w:val="32"/>
          <w:lang w:eastAsia="zh-CN"/>
        </w:rPr>
        <w:t>.《桂林市国土空间总体规划实施体检报告（2024年度）》；</w:t>
      </w:r>
    </w:p>
    <w:p>
      <w:pPr>
        <w:keepNext w:val="0"/>
        <w:keepLines w:val="0"/>
        <w:pageBreakBefore w:val="0"/>
        <w:widowControl w:val="0"/>
        <w:wordWrap/>
        <w:overflowPunct w:val="0"/>
        <w:topLinePunct w:val="0"/>
        <w:autoSpaceDE/>
        <w:autoSpaceDN/>
        <w:bidi w:val="0"/>
        <w:spacing w:line="560" w:lineRule="exact"/>
        <w:ind w:left="0" w:leftChars="0" w:right="0" w:rightChars="0" w:firstLine="652" w:firstLineChars="200"/>
        <w:jc w:val="both"/>
        <w:outlineLvl w:val="9"/>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2</w:t>
      </w:r>
      <w:r>
        <w:rPr>
          <w:rFonts w:hint="eastAsia" w:ascii="仿宋_GB2312" w:hAnsi="仿宋_GB2312" w:eastAsia="仿宋_GB2312" w:cs="仿宋_GB2312"/>
          <w:color w:val="auto"/>
          <w:spacing w:val="3"/>
          <w:sz w:val="32"/>
          <w:szCs w:val="32"/>
          <w:lang w:val="en-US" w:eastAsia="zh-CN"/>
        </w:rPr>
        <w:t>1</w:t>
      </w:r>
      <w:r>
        <w:rPr>
          <w:rFonts w:hint="eastAsia" w:ascii="仿宋_GB2312" w:hAnsi="仿宋_GB2312" w:eastAsia="仿宋_GB2312" w:cs="仿宋_GB2312"/>
          <w:color w:val="auto"/>
          <w:spacing w:val="3"/>
          <w:sz w:val="32"/>
          <w:szCs w:val="32"/>
          <w:lang w:eastAsia="zh-CN"/>
        </w:rPr>
        <w:t>.其他相关法律规范及规划。</w:t>
      </w:r>
    </w:p>
    <w:p>
      <w:pPr>
        <w:keepNext w:val="0"/>
        <w:keepLines w:val="0"/>
        <w:pageBreakBefore w:val="0"/>
        <w:widowControl w:val="0"/>
        <w:wordWrap/>
        <w:overflowPunct w:val="0"/>
        <w:topLinePunct w:val="0"/>
        <w:autoSpaceDE/>
        <w:autoSpaceDN/>
        <w:bidi w:val="0"/>
        <w:spacing w:line="560" w:lineRule="exact"/>
        <w:ind w:left="0" w:leftChars="0" w:right="0" w:rightChars="0" w:firstLine="643" w:firstLineChars="200"/>
        <w:jc w:val="both"/>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五、编制原则</w:t>
      </w:r>
    </w:p>
    <w:p>
      <w:pPr>
        <w:keepNext w:val="0"/>
        <w:keepLines w:val="0"/>
        <w:pageBreakBefore w:val="0"/>
        <w:widowControl w:val="0"/>
        <w:wordWrap/>
        <w:overflowPunct w:val="0"/>
        <w:topLinePunct w:val="0"/>
        <w:autoSpaceDE/>
        <w:autoSpaceDN/>
        <w:bidi w:val="0"/>
        <w:spacing w:line="560" w:lineRule="exact"/>
        <w:ind w:left="0" w:leftChars="0" w:right="0" w:rightChars="0" w:firstLine="627" w:firstLineChars="200"/>
        <w:jc w:val="both"/>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4"/>
          <w:sz w:val="32"/>
          <w:szCs w:val="32"/>
          <w:lang w:eastAsia="zh-CN"/>
        </w:rPr>
        <w:t>底线管控，刚弹结合。</w:t>
      </w:r>
      <w:r>
        <w:rPr>
          <w:rFonts w:hint="eastAsia" w:ascii="仿宋_GB2312" w:hAnsi="仿宋_GB2312" w:eastAsia="仿宋_GB2312" w:cs="仿宋_GB2312"/>
          <w:color w:val="auto"/>
          <w:spacing w:val="-4"/>
          <w:sz w:val="32"/>
          <w:szCs w:val="32"/>
          <w:lang w:eastAsia="zh-CN"/>
        </w:rPr>
        <w:t>严守粮食安全、生态安全、资</w:t>
      </w:r>
      <w:r>
        <w:rPr>
          <w:rFonts w:hint="eastAsia" w:ascii="仿宋_GB2312" w:hAnsi="仿宋_GB2312" w:eastAsia="仿宋_GB2312" w:cs="仿宋_GB2312"/>
          <w:color w:val="auto"/>
          <w:spacing w:val="-5"/>
          <w:sz w:val="32"/>
          <w:szCs w:val="32"/>
          <w:lang w:eastAsia="zh-CN"/>
        </w:rPr>
        <w:t>源安全、</w:t>
      </w:r>
      <w:r>
        <w:rPr>
          <w:rFonts w:hint="eastAsia" w:ascii="仿宋_GB2312" w:hAnsi="仿宋_GB2312" w:eastAsia="仿宋_GB2312" w:cs="仿宋_GB2312"/>
          <w:color w:val="auto"/>
          <w:spacing w:val="6"/>
          <w:sz w:val="32"/>
          <w:szCs w:val="32"/>
          <w:lang w:eastAsia="zh-CN"/>
        </w:rPr>
        <w:t>国土安全底线，落实上位规划确定的各项保护目标和控制指标。</w:t>
      </w:r>
    </w:p>
    <w:p>
      <w:pPr>
        <w:keepNext w:val="0"/>
        <w:keepLines w:val="0"/>
        <w:pageBreakBefore w:val="0"/>
        <w:widowControl w:val="0"/>
        <w:wordWrap/>
        <w:overflowPunct w:val="0"/>
        <w:topLinePunct w:val="0"/>
        <w:autoSpaceDE/>
        <w:autoSpaceDN/>
        <w:bidi w:val="0"/>
        <w:spacing w:line="560" w:lineRule="exact"/>
        <w:ind w:left="0" w:leftChars="0" w:right="0" w:rightChars="0" w:firstLine="651" w:firstLineChars="200"/>
        <w:jc w:val="both"/>
        <w:outlineLvl w:val="9"/>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b/>
          <w:bCs/>
          <w:color w:val="auto"/>
          <w:spacing w:val="2"/>
          <w:sz w:val="32"/>
          <w:szCs w:val="32"/>
          <w:lang w:eastAsia="zh-CN"/>
        </w:rPr>
        <w:t>需求导向，精准支撑。</w:t>
      </w:r>
      <w:r>
        <w:rPr>
          <w:rFonts w:hint="eastAsia" w:ascii="仿宋_GB2312" w:hAnsi="仿宋_GB2312" w:eastAsia="仿宋_GB2312" w:cs="仿宋_GB2312"/>
          <w:color w:val="auto"/>
          <w:spacing w:val="2"/>
          <w:sz w:val="32"/>
          <w:szCs w:val="32"/>
          <w:lang w:eastAsia="zh-CN"/>
        </w:rPr>
        <w:t>在国土空间总体规划实施体检评估的</w:t>
      </w:r>
      <w:r>
        <w:rPr>
          <w:rFonts w:hint="eastAsia" w:ascii="仿宋_GB2312" w:hAnsi="仿宋_GB2312" w:eastAsia="仿宋_GB2312" w:cs="仿宋_GB2312"/>
          <w:color w:val="auto"/>
          <w:spacing w:val="4"/>
          <w:sz w:val="32"/>
          <w:szCs w:val="32"/>
          <w:lang w:eastAsia="zh-CN"/>
        </w:rPr>
        <w:t>基础上，实事求是分析国土空间总体规划实施情况，</w:t>
      </w:r>
      <w:r>
        <w:rPr>
          <w:rFonts w:hint="eastAsia" w:ascii="仿宋_GB2312" w:hAnsi="仿宋_GB2312" w:eastAsia="仿宋_GB2312" w:cs="仿宋_GB2312"/>
          <w:color w:val="auto"/>
          <w:spacing w:val="3"/>
          <w:sz w:val="32"/>
          <w:szCs w:val="32"/>
          <w:lang w:eastAsia="zh-CN"/>
        </w:rPr>
        <w:t>结合城市自身发展需求，自下而上为“十五五”重大项目提供精准空间支撑。</w:t>
      </w:r>
    </w:p>
    <w:p>
      <w:pPr>
        <w:keepNext w:val="0"/>
        <w:keepLines w:val="0"/>
        <w:pageBreakBefore w:val="0"/>
        <w:widowControl w:val="0"/>
        <w:wordWrap/>
        <w:overflowPunct w:val="0"/>
        <w:topLinePunct w:val="0"/>
        <w:autoSpaceDE/>
        <w:autoSpaceDN/>
        <w:bidi w:val="0"/>
        <w:spacing w:line="560" w:lineRule="exact"/>
        <w:ind w:left="0" w:leftChars="0" w:right="0" w:rightChars="0" w:firstLine="651" w:firstLineChars="200"/>
        <w:jc w:val="both"/>
        <w:outlineLvl w:val="9"/>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b/>
          <w:bCs/>
          <w:color w:val="auto"/>
          <w:spacing w:val="2"/>
          <w:sz w:val="32"/>
          <w:szCs w:val="32"/>
          <w:lang w:eastAsia="zh-CN"/>
        </w:rPr>
        <w:t>数据支撑，科学决策。</w:t>
      </w:r>
      <w:r>
        <w:rPr>
          <w:rFonts w:hint="eastAsia" w:ascii="仿宋_GB2312" w:hAnsi="仿宋_GB2312" w:eastAsia="仿宋_GB2312" w:cs="仿宋_GB2312"/>
          <w:color w:val="auto"/>
          <w:spacing w:val="2"/>
          <w:sz w:val="32"/>
          <w:szCs w:val="32"/>
          <w:lang w:eastAsia="zh-CN"/>
        </w:rPr>
        <w:t>充分发挥数字技术手段作用，基于国土空间规划实施监测网络，支撑规划动态调整完善全流程的规范、高效、精准管理，实现国土空间治理效能持续提升。</w:t>
      </w:r>
    </w:p>
    <w:p>
      <w:pPr>
        <w:keepNext w:val="0"/>
        <w:keepLines w:val="0"/>
        <w:pageBreakBefore w:val="0"/>
        <w:widowControl w:val="0"/>
        <w:wordWrap/>
        <w:overflowPunct w:val="0"/>
        <w:topLinePunct w:val="0"/>
        <w:autoSpaceDE/>
        <w:autoSpaceDN/>
        <w:bidi w:val="0"/>
        <w:spacing w:line="560" w:lineRule="exact"/>
        <w:ind w:left="0" w:leftChars="0" w:right="0" w:rightChars="0" w:firstLine="651" w:firstLineChars="200"/>
        <w:jc w:val="both"/>
        <w:outlineLvl w:val="9"/>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b/>
          <w:bCs/>
          <w:color w:val="auto"/>
          <w:spacing w:val="2"/>
          <w:sz w:val="32"/>
          <w:szCs w:val="32"/>
          <w:lang w:eastAsia="zh-CN"/>
        </w:rPr>
        <w:t>统筹协调，系统全面。</w:t>
      </w:r>
      <w:r>
        <w:rPr>
          <w:rFonts w:hint="eastAsia" w:ascii="仿宋_GB2312" w:hAnsi="仿宋_GB2312" w:eastAsia="仿宋_GB2312" w:cs="仿宋_GB2312"/>
          <w:color w:val="auto"/>
          <w:spacing w:val="2"/>
          <w:sz w:val="32"/>
          <w:szCs w:val="32"/>
          <w:lang w:eastAsia="zh-CN"/>
        </w:rPr>
        <w:t>全面对接各级“十五五”规划和相关专项规划，在国土空间规划“一张图”上统筹各部门、各地区的重大项目空间需求，按需开展规划动态调整完善工作，强化规划的空间保障作用。</w:t>
      </w:r>
    </w:p>
    <w:p>
      <w:pPr>
        <w:keepNext w:val="0"/>
        <w:keepLines w:val="0"/>
        <w:pageBreakBefore w:val="0"/>
        <w:widowControl w:val="0"/>
        <w:wordWrap/>
        <w:overflowPunct w:val="0"/>
        <w:topLinePunct w:val="0"/>
        <w:autoSpaceDE/>
        <w:autoSpaceDN/>
        <w:bidi w:val="0"/>
        <w:spacing w:line="560" w:lineRule="exact"/>
        <w:ind w:left="0" w:leftChars="0" w:right="0" w:rightChars="0" w:firstLine="643" w:firstLineChars="20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六、动态维护方案</w:t>
      </w:r>
    </w:p>
    <w:p>
      <w:pPr>
        <w:keepNext w:val="0"/>
        <w:keepLines w:val="0"/>
        <w:pageBreakBefore w:val="0"/>
        <w:widowControl w:val="0"/>
        <w:wordWrap/>
        <w:overflowPunct w:val="0"/>
        <w:topLinePunct w:val="0"/>
        <w:autoSpaceDE/>
        <w:autoSpaceDN/>
        <w:bidi w:val="0"/>
        <w:spacing w:line="560" w:lineRule="exact"/>
        <w:ind w:left="0" w:leftChars="0" w:right="0" w:rightChars="0" w:firstLine="663"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pacing w:val="5"/>
          <w:sz w:val="32"/>
          <w:szCs w:val="32"/>
          <w:highlight w:val="none"/>
          <w:lang w:eastAsia="zh-CN"/>
        </w:rPr>
        <w:t>（一）耕地和永久基本农田保护红线</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color w:val="auto"/>
          <w:spacing w:val="6"/>
          <w:sz w:val="32"/>
          <w:szCs w:val="32"/>
          <w:highlight w:val="none"/>
          <w:lang w:eastAsia="zh-CN"/>
        </w:rPr>
        <w:t>按照“总体稳定、局部优化、优进劣出”原则对全域范围内的耕地和永久基本农田保护红线进行优化。《规划》确定桂林市本级耕地保护目标不低于51.01万亩，依据耕地保护空间划定正面、负面清单优化调整耕地空间。</w:t>
      </w:r>
    </w:p>
    <w:p>
      <w:pPr>
        <w:keepNext w:val="0"/>
        <w:keepLines w:val="0"/>
        <w:pageBreakBefore w:val="0"/>
        <w:widowControl w:val="0"/>
        <w:wordWrap/>
        <w:overflowPunct w:val="0"/>
        <w:topLinePunct w:val="0"/>
        <w:autoSpaceDE/>
        <w:autoSpaceDN/>
        <w:bidi w:val="0"/>
        <w:spacing w:line="560" w:lineRule="exact"/>
        <w:ind w:left="0" w:leftChars="0" w:right="0" w:rightChars="0" w:firstLine="655" w:firstLineChars="200"/>
        <w:jc w:val="both"/>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3"/>
          <w:sz w:val="32"/>
          <w:szCs w:val="32"/>
          <w:lang w:eastAsia="zh-CN"/>
        </w:rPr>
        <w:t>（三）城镇开发边界</w:t>
      </w:r>
    </w:p>
    <w:p>
      <w:pPr>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本次城镇开发边界的动态维护工作，坚持在确保粮食安全、生态安全、资源安全、国土安全等底线约束的基础上，遵循“总量不突破、布局更集聚、功能更优化”的原则，对城镇开发边界的空间结构和功能布局进行正向优化，促进城市紧凑发展和集约节约用地，完善城镇功能布局，提升空间品质。调整以落实国家和自治区重大战略、重大政策、主体功能区战略为目标，重点保障各级重大建设项目、各级各部门“十五五”规划和相关专项规划的重点建设项目，以及城镇基础设施补短板等近期急需开工项目的合理用地空间需求。</w:t>
      </w:r>
    </w:p>
    <w:p>
      <w:pPr>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本次维护未突破城镇开发边界总面积、扩展倍数和新增城镇建设用地规模。桂林市辖区城镇开发边界维护前规模为234.8338平方千米，维护后规模为234.8338平方千米，实现城镇开发边界总量不突破。本次维护调出90.33公顷，调入90.33公顷。</w:t>
      </w:r>
      <w:r>
        <w:rPr>
          <w:rFonts w:hint="eastAsia" w:ascii="仿宋_GB2312" w:hAnsi="仿宋_GB2312" w:eastAsia="仿宋_GB2312" w:cs="仿宋_GB2312"/>
          <w:color w:val="auto"/>
          <w:spacing w:val="6"/>
          <w:sz w:val="32"/>
          <w:szCs w:val="32"/>
          <w:lang w:eastAsia="zh-CN"/>
        </w:rPr>
        <w:t>调整规模占城镇开发边界总量的比例为0.39%，</w:t>
      </w:r>
      <w:r>
        <w:rPr>
          <w:rFonts w:hint="eastAsia" w:ascii="仿宋_GB2312" w:hAnsi="仿宋_GB2312" w:eastAsia="仿宋_GB2312" w:cs="仿宋_GB2312"/>
          <w:color w:val="auto"/>
          <w:spacing w:val="6"/>
          <w:sz w:val="32"/>
          <w:szCs w:val="32"/>
          <w:lang w:eastAsia="zh-CN"/>
        </w:rPr>
        <w:t>不超过市辖区城镇开发边界总量的1%，。</w:t>
      </w:r>
    </w:p>
    <w:p>
      <w:pPr>
        <w:keepNext w:val="0"/>
        <w:keepLines w:val="0"/>
        <w:pageBreakBefore w:val="0"/>
        <w:widowControl w:val="0"/>
        <w:wordWrap/>
        <w:overflowPunct w:val="0"/>
        <w:topLinePunct w:val="0"/>
        <w:autoSpaceDE/>
        <w:autoSpaceDN/>
        <w:bidi w:val="0"/>
        <w:spacing w:line="560" w:lineRule="exact"/>
        <w:ind w:left="0" w:leftChars="0" w:right="0" w:rightChars="0" w:firstLine="659" w:firstLineChars="200"/>
        <w:jc w:val="both"/>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4"/>
          <w:sz w:val="32"/>
          <w:szCs w:val="32"/>
          <w:lang w:eastAsia="zh-CN"/>
        </w:rPr>
        <w:t>（四）重点建设项目清单</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本次重点建设项目的动态维护工作，紧密结合“十五五”规划编制、国家和自治区重大战略落实，同步衔接桂林市各类相关专项规划，分类优化并纳入重点建设项目清单。通过对桂林市各行业部门项目需求的梳理汇总，初步新纳入重点建设项目共计425个。其中，能源项目37个，主要涉及电源电网建设、能源安全保障等领域；交通项目165个，主要包括公路、铁路、城镇村道路、内河船闸等基础设施；水利项目36个，重点涵盖水资源配置、防洪减灾、水环境综合治理等方面；电力项目4个，主要涉及供电设施及配套线路工程；环保项目2个，主要涉及河流水系等方面；旅游项目55个，主要涉及文旅示范区、湿地公园等方面；其他项目126个，涉及教育、医疗、产业配套等领域。后续将结合“十五五”规划编制和项目前期工作推进情况，进一步优化完善项目清单。</w:t>
      </w:r>
    </w:p>
    <w:p>
      <w:pPr>
        <w:keepNext w:val="0"/>
        <w:keepLines w:val="0"/>
        <w:pageBreakBefore w:val="0"/>
        <w:widowControl w:val="0"/>
        <w:wordWrap/>
        <w:overflowPunct w:val="0"/>
        <w:topLinePunct w:val="0"/>
        <w:autoSpaceDE/>
        <w:autoSpaceDN/>
        <w:bidi w:val="0"/>
        <w:spacing w:line="560" w:lineRule="exact"/>
        <w:ind w:left="0" w:leftChars="0" w:right="0" w:rightChars="0" w:firstLine="655" w:firstLineChars="200"/>
        <w:jc w:val="both"/>
        <w:outlineLvl w:val="9"/>
        <w:rPr>
          <w:rFonts w:hint="eastAsia" w:ascii="仿宋_GB2312" w:hAnsi="仿宋_GB2312" w:eastAsia="仿宋_GB2312" w:cs="仿宋_GB2312"/>
          <w:b/>
          <w:bCs/>
          <w:color w:val="auto"/>
          <w:spacing w:val="3"/>
          <w:sz w:val="32"/>
          <w:szCs w:val="32"/>
          <w:lang w:eastAsia="zh-CN"/>
        </w:rPr>
      </w:pPr>
      <w:r>
        <w:rPr>
          <w:rFonts w:hint="eastAsia" w:ascii="仿宋_GB2312" w:hAnsi="仿宋_GB2312" w:eastAsia="仿宋_GB2312" w:cs="仿宋_GB2312"/>
          <w:b/>
          <w:bCs/>
          <w:color w:val="auto"/>
          <w:spacing w:val="3"/>
          <w:sz w:val="32"/>
          <w:szCs w:val="32"/>
          <w:lang w:eastAsia="zh-CN"/>
        </w:rPr>
        <w:t>（五）村庄建设用地</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本次村庄建设用地的动态维护工作，严格按照不突破市辖区村庄建设用地总规模要求，维护前市辖区村庄建设用地总规模为11385公顷，维护后市辖区村庄建设用地总规模为11385公顷，未突破已印发的乡村地区“通则式”规划管理规定市辖区村庄建设用地总规模为（11389公顷）要求。坚持保障合理需求、节约集约用地的原则进行动态维护。</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调入范围主要包括：在原村庄建设边界、规划村庄建设用地之外选址，且选址明确、符合“一户一宅”规定和宅基地使用标准的新增村民住宅；项目范围确定、用地面积和建设规模符合标准的乡村公共基础设施、公益事业建设以及农村一二三产业融合发展等乡村振兴项目。</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根据最新工作成果，为保障近期乡村振兴项目用地需求，桂林市辖区规划村庄建设用地调入主要涉及符合“一户一宅”规定的农村村民住宅用地，以及公共服务设施、农村一二三产业融合发展项目。后续将结合项目成熟度和用地审批进度，进一步做好村庄建设用地保障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55"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pacing w:val="3"/>
          <w:sz w:val="32"/>
          <w:szCs w:val="32"/>
          <w:lang w:eastAsia="zh-CN"/>
        </w:rPr>
        <w:t>（六）中心城区规划用地布局</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本次中心城区规划用地布局维护重点内容主要包括：</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7"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b/>
          <w:bCs/>
          <w:color w:val="auto"/>
          <w:spacing w:val="6"/>
          <w:sz w:val="32"/>
          <w:szCs w:val="32"/>
          <w:lang w:eastAsia="zh-CN"/>
        </w:rPr>
        <w:t>纳入局部优化成果。</w:t>
      </w:r>
      <w:r>
        <w:rPr>
          <w:rFonts w:hint="eastAsia" w:ascii="仿宋_GB2312" w:hAnsi="仿宋_GB2312" w:eastAsia="仿宋_GB2312" w:cs="仿宋_GB2312"/>
          <w:color w:val="auto"/>
          <w:spacing w:val="6"/>
          <w:sz w:val="32"/>
          <w:szCs w:val="32"/>
          <w:lang w:eastAsia="zh-CN"/>
        </w:rPr>
        <w:t>以局部优化成果为调整基础，是本次动态维护的前置条件。本次动态维护衔接的局部优化范围为桂林市中心城区，其中涉及调入项目37个，零星城镇建设项目2个，调出地块14个。</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7"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b/>
          <w:bCs/>
          <w:color w:val="auto"/>
          <w:spacing w:val="6"/>
          <w:sz w:val="32"/>
          <w:szCs w:val="32"/>
          <w:lang w:eastAsia="zh-CN"/>
        </w:rPr>
        <w:t>保障重大项目落位。</w:t>
      </w:r>
      <w:r>
        <w:rPr>
          <w:rFonts w:hint="eastAsia" w:ascii="仿宋_GB2312" w:hAnsi="仿宋_GB2312" w:eastAsia="仿宋_GB2312" w:cs="仿宋_GB2312"/>
          <w:color w:val="auto"/>
          <w:spacing w:val="6"/>
          <w:sz w:val="32"/>
          <w:szCs w:val="32"/>
          <w:lang w:eastAsia="zh-CN"/>
        </w:rPr>
        <w:t>强化重大项目落地保障，统筹衔接城镇开发边界内项目与重大项目清单，持续完善城市功能、提升公共服务服务水平，推动城市紧凑布局与土地集约高效利用，全面提升城市空间品质。</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7"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b/>
          <w:bCs/>
          <w:color w:val="auto"/>
          <w:spacing w:val="6"/>
          <w:sz w:val="32"/>
          <w:szCs w:val="32"/>
          <w:lang w:eastAsia="zh-CN"/>
        </w:rPr>
        <w:t>衔接本次动态维护内容。</w:t>
      </w:r>
      <w:r>
        <w:rPr>
          <w:rFonts w:hint="eastAsia" w:ascii="仿宋_GB2312" w:hAnsi="仿宋_GB2312" w:eastAsia="仿宋_GB2312" w:cs="仿宋_GB2312"/>
          <w:color w:val="auto"/>
          <w:spacing w:val="6"/>
          <w:sz w:val="32"/>
          <w:szCs w:val="32"/>
          <w:lang w:eastAsia="zh-CN"/>
        </w:rPr>
        <w:t>衔接本次动态维护内容，包括三条控制线、村庄建设用地、城市重要控制线等动态维护内容。</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调整后，中心城区道路网密度有提高，中心城区公园绿地、广场步行5分钟覆盖率有提高，中心城区公益性用地比例不降低。</w:t>
      </w:r>
    </w:p>
    <w:p>
      <w:pPr>
        <w:keepNext w:val="0"/>
        <w:keepLines w:val="0"/>
        <w:pageBreakBefore w:val="0"/>
        <w:widowControl w:val="0"/>
        <w:wordWrap/>
        <w:overflowPunct w:val="0"/>
        <w:topLinePunct w:val="0"/>
        <w:autoSpaceDE/>
        <w:autoSpaceDN/>
        <w:bidi w:val="0"/>
        <w:spacing w:line="560" w:lineRule="exact"/>
        <w:ind w:left="0" w:leftChars="0" w:right="0" w:rightChars="0" w:firstLine="655" w:firstLineChars="200"/>
        <w:jc w:val="both"/>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pacing w:val="3"/>
          <w:sz w:val="32"/>
          <w:szCs w:val="32"/>
          <w:lang w:eastAsia="zh-CN"/>
        </w:rPr>
        <w:t>（七）城市重要控制线</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在不突破《规划》强制性内容的前提下，为了保障“十五五”规划的重点建设项目以及近期急需开工建设项目的空间需求，同时加强国土空间实施监督管理工作，对城市绿线、城市蓝线、城市黄线的具体边界进行优化，确保布局和规模基本稳定、功能不降低。本次维护方案不涉及城市紫线。</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本次绿线调整涉及主要是结合绿地、道路、市政等方面的专项规划，对城市绿线具体边界进行优化，确保布局和规模基本稳定、功能不降低、服务范围不改变。</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本次蓝线调整涉及主要是结合水资源保护、数理基础设施等专项规划，对城市蓝线具体边界进行优化，确保布局和规模基本稳定、功能不降低、城市水系安全。</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本次黄线调整涉及主要是结合城市公共交通、供水、防灾减灾等专项规划，对城市黄线具体边界进行优化，确保布局和规模基本稳定、功能不降低、服务范围不改变。</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p>
    <w:p>
      <w:pPr>
        <w:keepNext w:val="0"/>
        <w:keepLines w:val="0"/>
        <w:pageBreakBefore w:val="0"/>
        <w:widowControl w:val="0"/>
        <w:wordWrap/>
        <w:overflowPunct w:val="0"/>
        <w:topLinePunct w:val="0"/>
        <w:autoSpaceDE/>
        <w:autoSpaceDN/>
        <w:bidi w:val="0"/>
        <w:spacing w:line="560" w:lineRule="exact"/>
        <w:ind w:left="0" w:leftChars="0" w:right="0" w:rightChars="0" w:firstLine="667" w:firstLineChars="200"/>
        <w:jc w:val="both"/>
        <w:outlineLvl w:val="9"/>
        <w:rPr>
          <w:rFonts w:hint="eastAsia" w:ascii="仿宋_GB2312" w:hAnsi="仿宋_GB2312" w:eastAsia="仿宋_GB2312" w:cs="仿宋_GB2312"/>
          <w:b/>
          <w:bCs/>
          <w:color w:val="auto"/>
          <w:spacing w:val="6"/>
          <w:sz w:val="32"/>
          <w:szCs w:val="32"/>
          <w:lang w:eastAsia="zh-CN"/>
        </w:rPr>
      </w:pPr>
      <w:r>
        <w:rPr>
          <w:rFonts w:hint="eastAsia" w:ascii="仿宋_GB2312" w:hAnsi="仿宋_GB2312" w:eastAsia="仿宋_GB2312" w:cs="仿宋_GB2312"/>
          <w:b/>
          <w:bCs/>
          <w:color w:val="auto"/>
          <w:spacing w:val="6"/>
          <w:sz w:val="32"/>
          <w:szCs w:val="32"/>
          <w:lang w:eastAsia="zh-CN"/>
        </w:rPr>
        <w:t>本方案所有内容、数据和图纸均以最终批复为准。</w:t>
      </w:r>
    </w:p>
    <w:p>
      <w:pPr>
        <w:keepNext w:val="0"/>
        <w:keepLines w:val="0"/>
        <w:pageBreakBefore w:val="0"/>
        <w:widowControl w:val="0"/>
        <w:wordWrap/>
        <w:overflowPunct w:val="0"/>
        <w:topLinePunct w:val="0"/>
        <w:autoSpaceDE/>
        <w:autoSpaceDN/>
        <w:bidi w:val="0"/>
        <w:spacing w:line="560" w:lineRule="exact"/>
        <w:ind w:left="0" w:leftChars="0" w:right="0" w:rightChars="0" w:firstLine="560" w:firstLineChars="200"/>
        <w:jc w:val="both"/>
        <w:outlineLvl w:val="9"/>
        <w:rPr>
          <w:rFonts w:ascii="宋体" w:hAnsi="宋体" w:eastAsia="宋体" w:cs="仿宋"/>
          <w:color w:val="auto"/>
          <w:sz w:val="28"/>
          <w:szCs w:val="28"/>
          <w:lang w:eastAsia="zh-CN"/>
        </w:rPr>
      </w:pPr>
    </w:p>
    <w:p>
      <w:pPr>
        <w:keepNext w:val="0"/>
        <w:keepLines w:val="0"/>
        <w:pageBreakBefore w:val="0"/>
        <w:widowControl w:val="0"/>
        <w:wordWrap/>
        <w:overflowPunct w:val="0"/>
        <w:topLinePunct w:val="0"/>
        <w:autoSpaceDE/>
        <w:autoSpaceDN/>
        <w:bidi w:val="0"/>
        <w:spacing w:line="560" w:lineRule="exact"/>
        <w:ind w:left="0" w:leftChars="0" w:right="0" w:rightChars="0" w:firstLine="562" w:firstLineChars="200"/>
        <w:jc w:val="both"/>
        <w:outlineLvl w:val="9"/>
        <w:rPr>
          <w:rFonts w:ascii="宋体" w:hAnsi="宋体" w:eastAsia="宋体" w:cstheme="majorBidi"/>
          <w:b/>
          <w:bCs/>
          <w:color w:val="auto"/>
          <w:sz w:val="28"/>
          <w:szCs w:val="28"/>
          <w:lang w:eastAsia="zh-CN"/>
        </w:rPr>
      </w:pPr>
      <w:r>
        <w:rPr>
          <w:rFonts w:hint="eastAsia" w:ascii="宋体" w:hAnsi="宋体" w:eastAsia="宋体" w:cstheme="majorBidi"/>
          <w:b/>
          <w:bCs/>
          <w:color w:val="auto"/>
          <w:sz w:val="28"/>
          <w:szCs w:val="28"/>
          <w:lang w:eastAsia="zh-CN"/>
        </w:rPr>
        <w:t>七</w:t>
      </w:r>
      <w:r>
        <w:rPr>
          <w:rFonts w:ascii="宋体" w:hAnsi="宋体" w:eastAsia="宋体" w:cstheme="majorBidi"/>
          <w:b/>
          <w:bCs/>
          <w:color w:val="auto"/>
          <w:sz w:val="28"/>
          <w:szCs w:val="28"/>
          <w:lang w:eastAsia="zh-CN"/>
        </w:rPr>
        <w:t>、附图</w:t>
      </w:r>
    </w:p>
    <w:p>
      <w:pPr>
        <w:pStyle w:val="4"/>
        <w:keepNext w:val="0"/>
        <w:keepLines w:val="0"/>
        <w:pageBreakBefore w:val="0"/>
        <w:widowControl w:val="0"/>
        <w:wordWrap/>
        <w:overflowPunct w:val="0"/>
        <w:topLinePunct w:val="0"/>
        <w:autoSpaceDE/>
        <w:autoSpaceDN/>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城镇开发边界维护后图</w:t>
      </w:r>
    </w:p>
    <w:p>
      <w:pPr>
        <w:pStyle w:val="4"/>
        <w:keepNext w:val="0"/>
        <w:keepLines w:val="0"/>
        <w:pageBreakBefore w:val="0"/>
        <w:wordWrap/>
        <w:topLinePunct w:val="0"/>
        <w:bidi w:val="0"/>
        <w:spacing w:line="560" w:lineRule="exact"/>
        <w:ind w:left="0" w:leftChars="0" w:right="0" w:rightChars="0" w:firstLine="584" w:firstLineChars="200"/>
        <w:jc w:val="both"/>
        <w:outlineLvl w:val="9"/>
        <w:rPr>
          <w:rFonts w:ascii="宋体" w:hAnsi="宋体" w:eastAsia="宋体" w:cs="仿宋"/>
          <w:color w:val="auto"/>
          <w:spacing w:val="6"/>
          <w:sz w:val="28"/>
          <w:szCs w:val="28"/>
          <w:lang w:eastAsia="zh-CN"/>
        </w:rPr>
      </w:pPr>
      <w:r>
        <w:rPr>
          <w:rFonts w:ascii="宋体" w:hAnsi="宋体" w:eastAsia="宋体" w:cs="仿宋"/>
          <w:color w:val="auto"/>
          <w:spacing w:val="6"/>
          <w:sz w:val="28"/>
          <w:szCs w:val="28"/>
          <w:lang w:eastAsia="zh-CN"/>
        </w:rPr>
        <w:br w:type="page"/>
      </w:r>
    </w:p>
    <w:p>
      <w:pPr>
        <w:pStyle w:val="4"/>
        <w:keepNext w:val="0"/>
        <w:keepLines w:val="0"/>
        <w:pageBreakBefore w:val="0"/>
        <w:widowControl/>
        <w:wordWrap/>
        <w:overflowPunct w:val="0"/>
        <w:topLinePunct w:val="0"/>
        <w:bidi w:val="0"/>
        <w:spacing w:line="560" w:lineRule="exact"/>
        <w:ind w:left="0" w:leftChars="0" w:right="0" w:rightChars="0" w:firstLine="664" w:firstLineChars="200"/>
        <w:jc w:val="both"/>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附图 城镇开发边界维护后图</w:t>
      </w:r>
    </w:p>
    <w:p>
      <w:pPr>
        <w:pStyle w:val="4"/>
        <w:spacing w:before="101" w:line="226" w:lineRule="auto"/>
        <w:ind w:left="137"/>
        <w:rPr>
          <w:rFonts w:ascii="宋体" w:hAnsi="宋体" w:eastAsia="宋体" w:cs="仿宋"/>
          <w:color w:val="auto"/>
          <w:sz w:val="28"/>
          <w:szCs w:val="28"/>
          <w:lang w:eastAsia="zh-CN"/>
        </w:rPr>
      </w:pPr>
      <w:r>
        <w:rPr>
          <w:color w:val="auto"/>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285750</wp:posOffset>
            </wp:positionV>
            <wp:extent cx="5591175" cy="7905750"/>
            <wp:effectExtent l="0" t="0" r="9525" b="0"/>
            <wp:wrapTopAndBottom/>
            <wp:docPr id="8" name="图片 2" descr="G:\feiq chatting records\郭宪美(202.112.239.116)\2026-04-10 11_09_44\城镇开发边界维护后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G:\feiq chatting records\郭宪美(202.112.239.116)\2026-04-10 11_09_44\城镇开发边界维护后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591175" cy="7905750"/>
                    </a:xfrm>
                    <a:prstGeom prst="rect">
                      <a:avLst/>
                    </a:prstGeom>
                    <a:noFill/>
                    <a:ln>
                      <a:noFill/>
                    </a:ln>
                  </pic:spPr>
                </pic:pic>
              </a:graphicData>
            </a:graphic>
          </wp:anchor>
        </w:drawing>
      </w:r>
    </w:p>
    <w:p>
      <w:pPr>
        <w:kinsoku/>
        <w:autoSpaceDE/>
        <w:autoSpaceDN/>
        <w:adjustRightInd/>
        <w:snapToGrid/>
        <w:textAlignment w:val="auto"/>
        <w:rPr>
          <w:rFonts w:ascii="宋体" w:hAnsi="宋体" w:eastAsia="宋体"/>
          <w:color w:val="auto"/>
          <w:lang w:eastAsia="zh-CN"/>
        </w:rPr>
      </w:pPr>
    </w:p>
    <w:sectPr>
      <w:footerReference r:id="rId5" w:type="default"/>
      <w:pgSz w:w="11906" w:h="16839"/>
      <w:pgMar w:top="1431" w:right="1528" w:bottom="1286" w:left="1497" w:header="0" w:footer="111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790741187"/>
    </w:sdtPr>
    <w:sdtEndPr>
      <w:rPr>
        <w:rStyle w:val="10"/>
      </w:rPr>
    </w:sdtEndPr>
    <w:sdtContent>
      <w:p>
        <w:pPr>
          <w:pStyle w:val="6"/>
          <w:framePr w:wrap="around"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3</w:t>
        </w:r>
        <w:r>
          <w:rPr>
            <w:rStyle w:val="10"/>
          </w:rPr>
          <w:fldChar w:fldCharType="end"/>
        </w:r>
      </w:p>
    </w:sdtContent>
  </w:sdt>
  <w:p>
    <w:pPr>
      <w:pStyle w:val="4"/>
      <w:spacing w:line="187" w:lineRule="auto"/>
      <w:ind w:left="4512" w:right="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1809873"/>
    </w:sdtPr>
    <w:sdtEndPr>
      <w:rPr>
        <w:rStyle w:val="10"/>
      </w:rPr>
    </w:sdtEndPr>
    <w:sdtContent>
      <w:p>
        <w:pPr>
          <w:pStyle w:val="6"/>
          <w:framePr w:wrap="around"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sdtContent>
  </w:sdt>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9" w:lineRule="auto"/>
      <w:ind w:left="4494"/>
      <w:rPr>
        <w:sz w:val="18"/>
        <w:szCs w:val="18"/>
      </w:rPr>
    </w:pPr>
    <w:r>
      <w:rPr>
        <w:spacing w:val="3"/>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E2569C"/>
    <w:rsid w:val="000116FF"/>
    <w:rsid w:val="0002419E"/>
    <w:rsid w:val="000D7991"/>
    <w:rsid w:val="00127F09"/>
    <w:rsid w:val="00207F01"/>
    <w:rsid w:val="00225AD1"/>
    <w:rsid w:val="002723F5"/>
    <w:rsid w:val="00277E45"/>
    <w:rsid w:val="002B3332"/>
    <w:rsid w:val="0033677C"/>
    <w:rsid w:val="003659F4"/>
    <w:rsid w:val="003B0C6A"/>
    <w:rsid w:val="003E1465"/>
    <w:rsid w:val="003E3F57"/>
    <w:rsid w:val="00414A44"/>
    <w:rsid w:val="00447EAB"/>
    <w:rsid w:val="00450F70"/>
    <w:rsid w:val="00467A4A"/>
    <w:rsid w:val="00484C67"/>
    <w:rsid w:val="004949FC"/>
    <w:rsid w:val="00495519"/>
    <w:rsid w:val="004A1EC6"/>
    <w:rsid w:val="004D0F21"/>
    <w:rsid w:val="00516BFA"/>
    <w:rsid w:val="005213DE"/>
    <w:rsid w:val="00557F43"/>
    <w:rsid w:val="005860F7"/>
    <w:rsid w:val="00591690"/>
    <w:rsid w:val="005D629C"/>
    <w:rsid w:val="005E6F5A"/>
    <w:rsid w:val="006355A9"/>
    <w:rsid w:val="0063593A"/>
    <w:rsid w:val="00642F1F"/>
    <w:rsid w:val="0066266B"/>
    <w:rsid w:val="00672049"/>
    <w:rsid w:val="00681C6B"/>
    <w:rsid w:val="006A45F2"/>
    <w:rsid w:val="006D2F3D"/>
    <w:rsid w:val="006F7D36"/>
    <w:rsid w:val="00725E02"/>
    <w:rsid w:val="00736631"/>
    <w:rsid w:val="007761A7"/>
    <w:rsid w:val="00784CDA"/>
    <w:rsid w:val="007B48BB"/>
    <w:rsid w:val="007D5D01"/>
    <w:rsid w:val="007F39F5"/>
    <w:rsid w:val="007F4FD5"/>
    <w:rsid w:val="00891DAB"/>
    <w:rsid w:val="008A5DDA"/>
    <w:rsid w:val="00904254"/>
    <w:rsid w:val="00945F92"/>
    <w:rsid w:val="00971CD2"/>
    <w:rsid w:val="009A0251"/>
    <w:rsid w:val="009A22CF"/>
    <w:rsid w:val="009A3CCF"/>
    <w:rsid w:val="009D13E2"/>
    <w:rsid w:val="00A055FE"/>
    <w:rsid w:val="00A179E7"/>
    <w:rsid w:val="00A235B9"/>
    <w:rsid w:val="00A33764"/>
    <w:rsid w:val="00A41A1B"/>
    <w:rsid w:val="00A422F7"/>
    <w:rsid w:val="00A950D3"/>
    <w:rsid w:val="00AC6A33"/>
    <w:rsid w:val="00B04E08"/>
    <w:rsid w:val="00B20145"/>
    <w:rsid w:val="00B30203"/>
    <w:rsid w:val="00B333BB"/>
    <w:rsid w:val="00BC080E"/>
    <w:rsid w:val="00BD6412"/>
    <w:rsid w:val="00BF4BA6"/>
    <w:rsid w:val="00C05EBC"/>
    <w:rsid w:val="00C20868"/>
    <w:rsid w:val="00C73977"/>
    <w:rsid w:val="00CB194E"/>
    <w:rsid w:val="00D86268"/>
    <w:rsid w:val="00E05F01"/>
    <w:rsid w:val="00E11C82"/>
    <w:rsid w:val="00E2569C"/>
    <w:rsid w:val="00E26E90"/>
    <w:rsid w:val="00E4734F"/>
    <w:rsid w:val="00E51E85"/>
    <w:rsid w:val="00E56C91"/>
    <w:rsid w:val="00E62693"/>
    <w:rsid w:val="00E81791"/>
    <w:rsid w:val="00EE1E99"/>
    <w:rsid w:val="00F654A4"/>
    <w:rsid w:val="00FC04FC"/>
    <w:rsid w:val="0E7A6D77"/>
    <w:rsid w:val="13C70785"/>
    <w:rsid w:val="155E45EA"/>
    <w:rsid w:val="18183E77"/>
    <w:rsid w:val="181A682A"/>
    <w:rsid w:val="19B02D36"/>
    <w:rsid w:val="1DD20FC4"/>
    <w:rsid w:val="1F6269D9"/>
    <w:rsid w:val="29CE68B2"/>
    <w:rsid w:val="2BFE1FEE"/>
    <w:rsid w:val="2D283AD3"/>
    <w:rsid w:val="2E0A1DE5"/>
    <w:rsid w:val="2EB137F8"/>
    <w:rsid w:val="2FBA17B9"/>
    <w:rsid w:val="32321F23"/>
    <w:rsid w:val="36FA4E86"/>
    <w:rsid w:val="386E68B4"/>
    <w:rsid w:val="3F230C84"/>
    <w:rsid w:val="41285537"/>
    <w:rsid w:val="426F7277"/>
    <w:rsid w:val="49653D0C"/>
    <w:rsid w:val="4AB071FC"/>
    <w:rsid w:val="4E187755"/>
    <w:rsid w:val="537B15D9"/>
    <w:rsid w:val="546A074F"/>
    <w:rsid w:val="56A72BB2"/>
    <w:rsid w:val="5B077B1A"/>
    <w:rsid w:val="5F0B1459"/>
    <w:rsid w:val="6264163A"/>
    <w:rsid w:val="64554262"/>
    <w:rsid w:val="64FE734E"/>
    <w:rsid w:val="664B557E"/>
    <w:rsid w:val="67DA6499"/>
    <w:rsid w:val="68235E42"/>
    <w:rsid w:val="68DB358E"/>
    <w:rsid w:val="6E4712C8"/>
    <w:rsid w:val="74792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15"/>
    <w:qFormat/>
    <w:uiPriority w:val="9"/>
    <w:pPr>
      <w:kinsoku/>
      <w:autoSpaceDE/>
      <w:autoSpaceDN/>
      <w:adjustRightInd/>
      <w:snapToGrid/>
      <w:spacing w:before="100" w:beforeAutospacing="1" w:after="100" w:afterAutospacing="1"/>
      <w:textAlignment w:val="auto"/>
      <w:outlineLvl w:val="0"/>
    </w:pPr>
    <w:rPr>
      <w:rFonts w:ascii="宋体" w:hAnsi="宋体" w:eastAsia="宋体" w:cs="宋体"/>
      <w:b/>
      <w:bCs/>
      <w:snapToGrid/>
      <w:color w:val="auto"/>
      <w:kern w:val="36"/>
      <w:sz w:val="48"/>
      <w:szCs w:val="48"/>
      <w:lang w:eastAsia="zh-CN"/>
    </w:rPr>
  </w:style>
  <w:style w:type="paragraph" w:styleId="3">
    <w:name w:val="heading 5"/>
    <w:basedOn w:val="1"/>
    <w:next w:val="1"/>
    <w:link w:val="19"/>
    <w:unhideWhenUsed/>
    <w:qFormat/>
    <w:uiPriority w:val="9"/>
    <w:pPr>
      <w:keepNext/>
      <w:keepLines/>
      <w:spacing w:before="280" w:after="290" w:line="376" w:lineRule="auto"/>
      <w:outlineLvl w:val="4"/>
    </w:pPr>
    <w:rPr>
      <w:b/>
      <w:bCs/>
      <w:sz w:val="28"/>
      <w:szCs w:val="28"/>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link w:val="16"/>
    <w:semiHidden/>
    <w:qFormat/>
    <w:uiPriority w:val="0"/>
    <w:rPr>
      <w:rFonts w:eastAsia="Arial"/>
    </w:rPr>
  </w:style>
  <w:style w:type="paragraph" w:styleId="5">
    <w:name w:val="Balloon Text"/>
    <w:basedOn w:val="1"/>
    <w:link w:val="14"/>
    <w:unhideWhenUsed/>
    <w:qFormat/>
    <w:uiPriority w:val="99"/>
    <w:rPr>
      <w:rFonts w:ascii="宋体" w:eastAsia="宋体"/>
      <w:sz w:val="18"/>
      <w:szCs w:val="18"/>
    </w:rPr>
  </w:style>
  <w:style w:type="paragraph" w:styleId="6">
    <w:name w:val="footer"/>
    <w:basedOn w:val="1"/>
    <w:link w:val="18"/>
    <w:unhideWhenUsed/>
    <w:qFormat/>
    <w:uiPriority w:val="99"/>
    <w:pPr>
      <w:tabs>
        <w:tab w:val="center" w:pos="4153"/>
        <w:tab w:val="right" w:pos="8306"/>
      </w:tabs>
    </w:pPr>
    <w:rPr>
      <w:sz w:val="18"/>
      <w:szCs w:val="18"/>
    </w:rPr>
  </w:style>
  <w:style w:type="paragraph" w:styleId="7">
    <w:name w:val="header"/>
    <w:basedOn w:val="1"/>
    <w:link w:val="17"/>
    <w:unhideWhenUsed/>
    <w:qFormat/>
    <w:uiPriority w:val="99"/>
    <w:pPr>
      <w:tabs>
        <w:tab w:val="center" w:pos="4153"/>
        <w:tab w:val="right" w:pos="8306"/>
      </w:tabs>
      <w:jc w:val="center"/>
    </w:pPr>
    <w:rPr>
      <w:sz w:val="18"/>
      <w:szCs w:val="18"/>
    </w:rPr>
  </w:style>
  <w:style w:type="paragraph" w:styleId="8">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styleId="10">
    <w:name w:val="page number"/>
    <w:basedOn w:val="9"/>
    <w:unhideWhenUsed/>
    <w:qFormat/>
    <w:uiPriority w:val="99"/>
  </w:style>
  <w:style w:type="character" w:styleId="11">
    <w:name w:val="annotation reference"/>
    <w:basedOn w:val="9"/>
    <w:unhideWhenUsed/>
    <w:qFormat/>
    <w:uiPriority w:val="99"/>
    <w:rPr>
      <w:sz w:val="21"/>
      <w:szCs w:val="21"/>
    </w:rPr>
  </w:style>
  <w:style w:type="table" w:customStyle="1" w:styleId="13">
    <w:name w:val="Table Normal"/>
    <w:unhideWhenUsed/>
    <w:qFormat/>
    <w:uiPriority w:val="0"/>
    <w:tblPr>
      <w:tblLayout w:type="fixed"/>
      <w:tblCellMar>
        <w:top w:w="0" w:type="dxa"/>
        <w:left w:w="0" w:type="dxa"/>
        <w:bottom w:w="0" w:type="dxa"/>
        <w:right w:w="0" w:type="dxa"/>
      </w:tblCellMar>
    </w:tblPr>
  </w:style>
  <w:style w:type="character" w:customStyle="1" w:styleId="14">
    <w:name w:val="批注框文本 字符"/>
    <w:basedOn w:val="9"/>
    <w:link w:val="5"/>
    <w:semiHidden/>
    <w:qFormat/>
    <w:uiPriority w:val="99"/>
    <w:rPr>
      <w:rFonts w:ascii="宋体" w:eastAsia="宋体"/>
      <w:sz w:val="18"/>
      <w:szCs w:val="18"/>
    </w:rPr>
  </w:style>
  <w:style w:type="character" w:customStyle="1" w:styleId="15">
    <w:name w:val="标题 1 字符"/>
    <w:basedOn w:val="9"/>
    <w:link w:val="2"/>
    <w:qFormat/>
    <w:uiPriority w:val="9"/>
    <w:rPr>
      <w:rFonts w:ascii="宋体" w:hAnsi="宋体" w:eastAsia="宋体" w:cs="宋体"/>
      <w:b/>
      <w:bCs/>
      <w:snapToGrid/>
      <w:color w:val="auto"/>
      <w:kern w:val="36"/>
      <w:sz w:val="48"/>
      <w:szCs w:val="48"/>
      <w:lang w:eastAsia="zh-CN"/>
    </w:rPr>
  </w:style>
  <w:style w:type="character" w:customStyle="1" w:styleId="16">
    <w:name w:val="正文文本 字符"/>
    <w:basedOn w:val="9"/>
    <w:link w:val="4"/>
    <w:semiHidden/>
    <w:qFormat/>
    <w:uiPriority w:val="0"/>
    <w:rPr>
      <w:rFonts w:eastAsia="Arial"/>
    </w:rPr>
  </w:style>
  <w:style w:type="character" w:customStyle="1" w:styleId="17">
    <w:name w:val="页眉 字符"/>
    <w:basedOn w:val="9"/>
    <w:link w:val="7"/>
    <w:qFormat/>
    <w:uiPriority w:val="99"/>
    <w:rPr>
      <w:sz w:val="18"/>
      <w:szCs w:val="18"/>
    </w:rPr>
  </w:style>
  <w:style w:type="character" w:customStyle="1" w:styleId="18">
    <w:name w:val="页脚 字符"/>
    <w:basedOn w:val="9"/>
    <w:link w:val="6"/>
    <w:qFormat/>
    <w:uiPriority w:val="99"/>
    <w:rPr>
      <w:sz w:val="18"/>
      <w:szCs w:val="18"/>
    </w:rPr>
  </w:style>
  <w:style w:type="character" w:customStyle="1" w:styleId="19">
    <w:name w:val="标题 5 字符"/>
    <w:basedOn w:val="9"/>
    <w:link w:val="3"/>
    <w:qFormat/>
    <w:uiPriority w:val="9"/>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4372</Words>
  <Characters>4628</Characters>
  <Lines>34</Lines>
  <Paragraphs>9</Paragraphs>
  <ScaleCrop>false</ScaleCrop>
  <LinksUpToDate>false</LinksUpToDate>
  <CharactersWithSpaces>4658</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2026-03-20T18:18:00Z</dcterms:created>
  <dc:creator>丽丽</dc:creator>
  <cp:lastModifiedBy>hc</cp:lastModifiedBy>
  <dcterms:modified xsi:type="dcterms:W3CDTF">2026-04-16T03:52:39Z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2026-04-07T11:16:22Z</vt:filetime>
  </property>
  <property fmtid="{D5CDD505-2E9C-101B-9397-08002B2CF9AE}" pid="4" name="KSOProductBuildVer">
    <vt:lpwstr>2052-10.8.0.6108</vt:lpwstr>
  </property>
</Properties>
</file>